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5E58FA" w:rsidRPr="005E58FA" w:rsidTr="00EA3D29">
        <w:tc>
          <w:tcPr>
            <w:tcW w:w="9747" w:type="dxa"/>
            <w:gridSpan w:val="2"/>
          </w:tcPr>
          <w:p w:rsidR="005E58FA" w:rsidRPr="005E58FA" w:rsidRDefault="005E58FA" w:rsidP="005E58FA">
            <w:pPr>
              <w:rPr>
                <w:color w:val="FF0000"/>
              </w:rPr>
            </w:pPr>
            <w:bookmarkStart w:id="0" w:name="_GoBack"/>
            <w:bookmarkEnd w:id="0"/>
            <w:r>
              <w:rPr>
                <w:color w:val="FF0000"/>
              </w:rPr>
              <w:t>Il dispositivo scolastico</w:t>
            </w:r>
          </w:p>
        </w:tc>
      </w:tr>
      <w:tr w:rsidR="005E58FA" w:rsidRPr="0052075A" w:rsidTr="002A4ADB">
        <w:tc>
          <w:tcPr>
            <w:tcW w:w="3794" w:type="dxa"/>
          </w:tcPr>
          <w:p w:rsidR="005E58FA" w:rsidRPr="0052075A" w:rsidRDefault="005E58FA" w:rsidP="00711383">
            <w:r w:rsidRPr="0052075A">
              <w:t>Bambino Sri Lanka</w:t>
            </w:r>
          </w:p>
        </w:tc>
        <w:tc>
          <w:tcPr>
            <w:tcW w:w="5953" w:type="dxa"/>
          </w:tcPr>
          <w:p w:rsidR="005E58FA" w:rsidRDefault="002A4ADB" w:rsidP="002A4ADB">
            <w:r>
              <w:t>La sua presenza fa riflettere sui t</w:t>
            </w:r>
            <w:r w:rsidR="005E58FA" w:rsidRPr="0052075A">
              <w:t>empi della scuola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1"/>
              </w:numPr>
            </w:pPr>
            <w:r>
              <w:t>Vanno bene per tutti i bambini?</w:t>
            </w:r>
          </w:p>
          <w:p w:rsidR="002A4ADB" w:rsidRPr="0052075A" w:rsidRDefault="002A4ADB" w:rsidP="002A4ADB">
            <w:pPr>
              <w:pStyle w:val="Paragrafoelenco"/>
              <w:numPr>
                <w:ilvl w:val="0"/>
                <w:numId w:val="1"/>
              </w:numPr>
            </w:pPr>
            <w:r>
              <w:t>Quanto sono realmente rigidi e quanto possiamo abitarli: giugno è il tempo dei giudizi</w:t>
            </w:r>
          </w:p>
        </w:tc>
      </w:tr>
      <w:tr w:rsidR="005E58FA" w:rsidRPr="0052075A" w:rsidTr="002A4ADB">
        <w:tc>
          <w:tcPr>
            <w:tcW w:w="3794" w:type="dxa"/>
          </w:tcPr>
          <w:p w:rsidR="005E58FA" w:rsidRPr="0052075A" w:rsidRDefault="005E58FA" w:rsidP="00711383">
            <w:r w:rsidRPr="0052075A">
              <w:t>Il giorno della rotazione: tre classi che un giorno la settimana affrontano argomenti  con mezzi differenti</w:t>
            </w:r>
          </w:p>
        </w:tc>
        <w:tc>
          <w:tcPr>
            <w:tcW w:w="5953" w:type="dxa"/>
          </w:tcPr>
          <w:p w:rsidR="005E58FA" w:rsidRDefault="005E58FA" w:rsidP="00711383">
            <w:r w:rsidRPr="0052075A">
              <w:t xml:space="preserve">Aggredire </w:t>
            </w:r>
            <w:r>
              <w:t>il dispositivo sco</w:t>
            </w:r>
            <w:r w:rsidRPr="0052075A">
              <w:t>l</w:t>
            </w:r>
            <w:r>
              <w:t>a</w:t>
            </w:r>
            <w:r w:rsidRPr="0052075A">
              <w:t>stico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2"/>
              </w:numPr>
            </w:pPr>
            <w:r>
              <w:t>Smontare il moloch della classe</w:t>
            </w:r>
          </w:p>
          <w:p w:rsidR="002A4ADB" w:rsidRPr="0052075A" w:rsidRDefault="002A4ADB" w:rsidP="002A4ADB">
            <w:pPr>
              <w:pStyle w:val="Paragrafoelenco"/>
              <w:numPr>
                <w:ilvl w:val="0"/>
                <w:numId w:val="2"/>
              </w:numPr>
            </w:pPr>
            <w:r>
              <w:t>Mettere in discussione l’aggregazione per età</w:t>
            </w:r>
          </w:p>
        </w:tc>
      </w:tr>
      <w:tr w:rsidR="005E58FA" w:rsidRPr="0052075A" w:rsidTr="002A4ADB">
        <w:tc>
          <w:tcPr>
            <w:tcW w:w="3794" w:type="dxa"/>
          </w:tcPr>
          <w:p w:rsidR="005E58FA" w:rsidRPr="0052075A" w:rsidRDefault="005E58FA" w:rsidP="00711383">
            <w:r w:rsidRPr="0052075A">
              <w:t>Fratelli d’italia</w:t>
            </w:r>
          </w:p>
        </w:tc>
        <w:tc>
          <w:tcPr>
            <w:tcW w:w="5953" w:type="dxa"/>
          </w:tcPr>
          <w:p w:rsidR="005E58FA" w:rsidRDefault="005E58FA" w:rsidP="00711383">
            <w:r w:rsidRPr="0052075A">
              <w:t>Inversione della visibilità: conoscere significa spiegare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3"/>
              </w:numPr>
            </w:pPr>
            <w:r>
              <w:t>Per una volta è l’accogliente che si racconta</w:t>
            </w:r>
          </w:p>
          <w:p w:rsidR="002A4ADB" w:rsidRPr="0052075A" w:rsidRDefault="002A4ADB" w:rsidP="002A4ADB">
            <w:pPr>
              <w:pStyle w:val="Paragrafoelenco"/>
              <w:numPr>
                <w:ilvl w:val="0"/>
                <w:numId w:val="3"/>
              </w:numPr>
            </w:pPr>
            <w:r>
              <w:t>Purchè si mostrino anche i punti deboli dell’Italia</w:t>
            </w:r>
          </w:p>
        </w:tc>
      </w:tr>
      <w:tr w:rsidR="002B4417" w:rsidRPr="0052075A" w:rsidTr="002A4ADB">
        <w:tc>
          <w:tcPr>
            <w:tcW w:w="3794" w:type="dxa"/>
          </w:tcPr>
          <w:p w:rsidR="002B4417" w:rsidRPr="0052075A" w:rsidRDefault="002B4417" w:rsidP="002B4417">
            <w:r>
              <w:t>Bambina mensa</w:t>
            </w:r>
          </w:p>
        </w:tc>
        <w:tc>
          <w:tcPr>
            <w:tcW w:w="5953" w:type="dxa"/>
          </w:tcPr>
          <w:p w:rsidR="002B4417" w:rsidRPr="0052075A" w:rsidRDefault="002B4417" w:rsidP="002B4417">
            <w:r>
              <w:t>Importanza dell’aspetto istituzionale</w:t>
            </w:r>
          </w:p>
        </w:tc>
      </w:tr>
    </w:tbl>
    <w:p w:rsidR="00D66762" w:rsidRDefault="00D6676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5E58FA" w:rsidRPr="005E58FA" w:rsidTr="00711383">
        <w:tc>
          <w:tcPr>
            <w:tcW w:w="9747" w:type="dxa"/>
            <w:gridSpan w:val="2"/>
          </w:tcPr>
          <w:p w:rsidR="005E58FA" w:rsidRPr="005E58FA" w:rsidRDefault="005E58FA" w:rsidP="005E58FA">
            <w:pPr>
              <w:rPr>
                <w:color w:val="FF0000"/>
              </w:rPr>
            </w:pPr>
            <w:r>
              <w:rPr>
                <w:color w:val="FF0000"/>
              </w:rPr>
              <w:t>Il dialogo tra culture nella quotidianità</w:t>
            </w:r>
          </w:p>
        </w:tc>
      </w:tr>
      <w:tr w:rsidR="005E58FA" w:rsidRPr="0052075A" w:rsidTr="002A4ADB">
        <w:tc>
          <w:tcPr>
            <w:tcW w:w="3794" w:type="dxa"/>
          </w:tcPr>
          <w:p w:rsidR="005E58FA" w:rsidRPr="0052075A" w:rsidRDefault="005E58FA" w:rsidP="00711383">
            <w:r w:rsidRPr="0052075A">
              <w:t>Il topino dei denti</w:t>
            </w:r>
          </w:p>
        </w:tc>
        <w:tc>
          <w:tcPr>
            <w:tcW w:w="5953" w:type="dxa"/>
          </w:tcPr>
          <w:p w:rsidR="005E58FA" w:rsidRDefault="002A4ADB" w:rsidP="002A4ADB">
            <w:r>
              <w:t>Il mondo magico del bambino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4"/>
              </w:numPr>
            </w:pPr>
            <w:r>
              <w:t>È un bisogno trasversale alle culture</w:t>
            </w:r>
          </w:p>
          <w:p w:rsidR="002A4ADB" w:rsidRPr="0052075A" w:rsidRDefault="002A4ADB" w:rsidP="002A4ADB">
            <w:pPr>
              <w:pStyle w:val="Paragrafoelenco"/>
              <w:numPr>
                <w:ilvl w:val="0"/>
                <w:numId w:val="4"/>
              </w:numPr>
            </w:pPr>
            <w:r>
              <w:t>Far riflettere sulla necessità di aiutanti magici</w:t>
            </w:r>
          </w:p>
        </w:tc>
      </w:tr>
      <w:tr w:rsidR="005E58FA" w:rsidRPr="0052075A" w:rsidTr="002A4ADB">
        <w:tc>
          <w:tcPr>
            <w:tcW w:w="3794" w:type="dxa"/>
          </w:tcPr>
          <w:p w:rsidR="005E58FA" w:rsidRPr="0052075A" w:rsidRDefault="005E58FA" w:rsidP="00711383">
            <w:r w:rsidRPr="0052075A">
              <w:t>Come si prega</w:t>
            </w:r>
          </w:p>
        </w:tc>
        <w:tc>
          <w:tcPr>
            <w:tcW w:w="5953" w:type="dxa"/>
          </w:tcPr>
          <w:p w:rsidR="005E58FA" w:rsidRDefault="002A4ADB" w:rsidP="00711383">
            <w:r>
              <w:t>La preghiera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5"/>
              </w:numPr>
            </w:pPr>
            <w:r>
              <w:t>Anche questo è un bisogno trasversale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5"/>
              </w:numPr>
            </w:pPr>
            <w:r>
              <w:t>Come affrontare il divino e il sacro in senso interculturale</w:t>
            </w:r>
          </w:p>
          <w:p w:rsidR="002A4ADB" w:rsidRPr="0052075A" w:rsidRDefault="002A4ADB" w:rsidP="002A4ADB">
            <w:pPr>
              <w:pStyle w:val="Paragrafoelenco"/>
              <w:numPr>
                <w:ilvl w:val="0"/>
                <w:numId w:val="5"/>
              </w:numPr>
            </w:pPr>
            <w:r>
              <w:t>Da noi si prega?</w:t>
            </w:r>
          </w:p>
        </w:tc>
      </w:tr>
      <w:tr w:rsidR="005E58FA" w:rsidRPr="0052075A" w:rsidTr="002A4ADB">
        <w:tc>
          <w:tcPr>
            <w:tcW w:w="3794" w:type="dxa"/>
          </w:tcPr>
          <w:p w:rsidR="005E58FA" w:rsidRPr="0052075A" w:rsidRDefault="005E58FA" w:rsidP="00711383">
            <w:r w:rsidRPr="0052075A">
              <w:t>Il percorso sull’Odissea</w:t>
            </w:r>
          </w:p>
        </w:tc>
        <w:tc>
          <w:tcPr>
            <w:tcW w:w="5953" w:type="dxa"/>
          </w:tcPr>
          <w:p w:rsidR="005E58FA" w:rsidRDefault="002A4ADB" w:rsidP="002A4ADB">
            <w:r>
              <w:t xml:space="preserve">Partire </w:t>
            </w:r>
            <w:r w:rsidR="005E58FA" w:rsidRPr="0052075A">
              <w:t>da un prodotto occidentale</w:t>
            </w:r>
            <w:r>
              <w:t xml:space="preserve"> non è sbagliato</w:t>
            </w:r>
          </w:p>
          <w:p w:rsidR="002A4ADB" w:rsidRPr="0052075A" w:rsidRDefault="002A4ADB" w:rsidP="002A4ADB">
            <w:r>
              <w:t>Purché poi si proceda alla ricerca degli archetipi</w:t>
            </w:r>
          </w:p>
        </w:tc>
      </w:tr>
      <w:tr w:rsidR="002B4417" w:rsidRPr="0052075A" w:rsidTr="002A4ADB">
        <w:tc>
          <w:tcPr>
            <w:tcW w:w="3794" w:type="dxa"/>
          </w:tcPr>
          <w:p w:rsidR="002B4417" w:rsidRPr="0052075A" w:rsidRDefault="002B4417" w:rsidP="00711383">
            <w:r>
              <w:t>Doppia esclusione: cultura e disabilità</w:t>
            </w:r>
          </w:p>
        </w:tc>
        <w:tc>
          <w:tcPr>
            <w:tcW w:w="5953" w:type="dxa"/>
          </w:tcPr>
          <w:p w:rsidR="002B4417" w:rsidRDefault="002B4417" w:rsidP="002A4ADB">
            <w:r>
              <w:t>Importanza per il resto della classe</w:t>
            </w:r>
          </w:p>
          <w:p w:rsidR="002B4417" w:rsidRDefault="002B4417" w:rsidP="002A4ADB">
            <w:r>
              <w:t>Famiglia: lavorare sull’accettazione delle difficoltà</w:t>
            </w:r>
          </w:p>
          <w:p w:rsidR="002B4417" w:rsidRDefault="002B4417" w:rsidP="002B4417">
            <w:r>
              <w:t xml:space="preserve">Mostrare che per noi istruzione non significa solo alfabetizzazione cognitiva </w:t>
            </w:r>
          </w:p>
        </w:tc>
      </w:tr>
    </w:tbl>
    <w:p w:rsidR="005E58FA" w:rsidRDefault="005E58FA"/>
    <w:p w:rsidR="005E58FA" w:rsidRDefault="005E58F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5E58FA" w:rsidRPr="005E58FA" w:rsidTr="00711383">
        <w:tc>
          <w:tcPr>
            <w:tcW w:w="9747" w:type="dxa"/>
            <w:gridSpan w:val="2"/>
          </w:tcPr>
          <w:p w:rsidR="005E58FA" w:rsidRPr="005E58FA" w:rsidRDefault="005E58FA" w:rsidP="00711383">
            <w:pPr>
              <w:rPr>
                <w:color w:val="FF0000"/>
              </w:rPr>
            </w:pPr>
            <w:r>
              <w:rPr>
                <w:color w:val="FF0000"/>
              </w:rPr>
              <w:t>La personalizzazione della didattica</w:t>
            </w:r>
          </w:p>
        </w:tc>
      </w:tr>
      <w:tr w:rsidR="0052075A" w:rsidRPr="0052075A" w:rsidTr="002A4ADB">
        <w:tc>
          <w:tcPr>
            <w:tcW w:w="3794" w:type="dxa"/>
          </w:tcPr>
          <w:p w:rsidR="0052075A" w:rsidRPr="0052075A" w:rsidRDefault="0052075A" w:rsidP="00711383">
            <w:r w:rsidRPr="0052075A">
              <w:t>Musica araba al momento del riordino coinvolge il bambino</w:t>
            </w:r>
          </w:p>
        </w:tc>
        <w:tc>
          <w:tcPr>
            <w:tcW w:w="5953" w:type="dxa"/>
          </w:tcPr>
          <w:p w:rsidR="0052075A" w:rsidRDefault="0052075A" w:rsidP="00711383">
            <w:r w:rsidRPr="0052075A">
              <w:t>Personalizzazione degli interventi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6"/>
              </w:numPr>
            </w:pPr>
            <w:r>
              <w:t>Ogni bambino ha il proprio codice d’accesso</w:t>
            </w:r>
          </w:p>
          <w:p w:rsidR="002A4ADB" w:rsidRPr="0052075A" w:rsidRDefault="002A4ADB" w:rsidP="002A4ADB">
            <w:pPr>
              <w:pStyle w:val="Paragrafoelenco"/>
              <w:numPr>
                <w:ilvl w:val="0"/>
                <w:numId w:val="6"/>
              </w:numPr>
            </w:pPr>
            <w:r>
              <w:t>Il che significa anche che non tutti impareranno da me</w:t>
            </w:r>
          </w:p>
        </w:tc>
      </w:tr>
      <w:tr w:rsidR="0052075A" w:rsidRPr="0052075A" w:rsidTr="002A4ADB">
        <w:tc>
          <w:tcPr>
            <w:tcW w:w="3794" w:type="dxa"/>
          </w:tcPr>
          <w:p w:rsidR="0052075A" w:rsidRPr="0052075A" w:rsidRDefault="0052075A" w:rsidP="00711383">
            <w:r w:rsidRPr="0052075A">
              <w:t>Il progetto ricette</w:t>
            </w:r>
          </w:p>
        </w:tc>
        <w:tc>
          <w:tcPr>
            <w:tcW w:w="5953" w:type="dxa"/>
          </w:tcPr>
          <w:p w:rsidR="002A4ADB" w:rsidRDefault="002A4ADB" w:rsidP="00711383">
            <w:r>
              <w:t>Coinvolgimento dei genitori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7"/>
              </w:numPr>
            </w:pPr>
            <w:r>
              <w:t xml:space="preserve">Questione della </w:t>
            </w:r>
            <w:r w:rsidR="0052075A" w:rsidRPr="0052075A">
              <w:t>privacy</w:t>
            </w:r>
            <w:r>
              <w:t xml:space="preserve">: comunque i bambini raccontano 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7"/>
              </w:numPr>
            </w:pPr>
            <w:r>
              <w:t xml:space="preserve">Mostrare le ricadute educative del progetto </w:t>
            </w:r>
          </w:p>
          <w:p w:rsidR="002A4ADB" w:rsidRPr="0052075A" w:rsidRDefault="002A4ADB" w:rsidP="002A4ADB">
            <w:pPr>
              <w:pStyle w:val="Paragrafoelenco"/>
              <w:numPr>
                <w:ilvl w:val="0"/>
                <w:numId w:val="7"/>
              </w:numPr>
            </w:pPr>
            <w:r>
              <w:t>Ma la scuola deve giustificarsi?</w:t>
            </w:r>
          </w:p>
        </w:tc>
      </w:tr>
      <w:tr w:rsidR="0052075A" w:rsidRPr="0052075A" w:rsidTr="002A4ADB">
        <w:tc>
          <w:tcPr>
            <w:tcW w:w="3794" w:type="dxa"/>
          </w:tcPr>
          <w:p w:rsidR="0052075A" w:rsidRPr="0052075A" w:rsidRDefault="0052075A" w:rsidP="00711383">
            <w:r w:rsidRPr="0052075A">
              <w:t>Il bambino autistico e il contenimento  delle emozioni (dire no)</w:t>
            </w:r>
          </w:p>
        </w:tc>
        <w:tc>
          <w:tcPr>
            <w:tcW w:w="5953" w:type="dxa"/>
          </w:tcPr>
          <w:p w:rsidR="002A4ADB" w:rsidRDefault="002A4ADB" w:rsidP="00711383">
            <w:r>
              <w:t>Lasciare che siano le cose a dare un limite</w:t>
            </w:r>
          </w:p>
          <w:p w:rsidR="0052075A" w:rsidRDefault="0052075A" w:rsidP="00711383">
            <w:r>
              <w:t>I no sono diversi da persona a persona</w:t>
            </w:r>
          </w:p>
          <w:p w:rsidR="002A4ADB" w:rsidRPr="0052075A" w:rsidRDefault="002A4ADB" w:rsidP="00711383">
            <w:r>
              <w:t>Dire no per dire sì</w:t>
            </w:r>
          </w:p>
        </w:tc>
      </w:tr>
      <w:tr w:rsidR="005E58FA" w:rsidRPr="0052075A" w:rsidTr="002A4ADB">
        <w:tc>
          <w:tcPr>
            <w:tcW w:w="3794" w:type="dxa"/>
          </w:tcPr>
          <w:p w:rsidR="005E58FA" w:rsidRPr="0052075A" w:rsidRDefault="005E58FA" w:rsidP="00711383">
            <w:r w:rsidRPr="0052075A">
              <w:t>Il provocatore</w:t>
            </w:r>
          </w:p>
        </w:tc>
        <w:tc>
          <w:tcPr>
            <w:tcW w:w="5953" w:type="dxa"/>
          </w:tcPr>
          <w:p w:rsidR="005E58FA" w:rsidRDefault="005E58FA" w:rsidP="00711383">
            <w:r w:rsidRPr="0052075A">
              <w:t xml:space="preserve">Il diritto a una lezione </w:t>
            </w:r>
            <w:r w:rsidR="002A4ADB">
              <w:t>“</w:t>
            </w:r>
            <w:r w:rsidRPr="0052075A">
              <w:t>normale</w:t>
            </w:r>
            <w:r w:rsidR="002A4ADB">
              <w:t>”?</w:t>
            </w:r>
          </w:p>
          <w:p w:rsidR="002A4ADB" w:rsidRPr="0052075A" w:rsidRDefault="002A4ADB" w:rsidP="00711383">
            <w:r>
              <w:t>Normale è anche saper affrontare la presunta anormalità</w:t>
            </w:r>
          </w:p>
        </w:tc>
      </w:tr>
    </w:tbl>
    <w:p w:rsidR="005E58FA" w:rsidRDefault="005E58FA"/>
    <w:p w:rsidR="0042420B" w:rsidRDefault="0042420B"/>
    <w:p w:rsidR="0042420B" w:rsidRDefault="0042420B"/>
    <w:p w:rsidR="002A4ADB" w:rsidRDefault="002A4ADB"/>
    <w:p w:rsidR="002A4ADB" w:rsidRDefault="002A4ADB"/>
    <w:p w:rsidR="002A4ADB" w:rsidRDefault="002A4ADB"/>
    <w:p w:rsidR="002A4ADB" w:rsidRDefault="002A4ADB"/>
    <w:p w:rsidR="002A4ADB" w:rsidRDefault="002A4AD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2A4ADB" w:rsidRPr="005E58FA" w:rsidTr="00780F85">
        <w:tc>
          <w:tcPr>
            <w:tcW w:w="9747" w:type="dxa"/>
            <w:gridSpan w:val="2"/>
          </w:tcPr>
          <w:p w:rsidR="002A4ADB" w:rsidRPr="005E58FA" w:rsidRDefault="002A4ADB" w:rsidP="00780F85">
            <w:pPr>
              <w:rPr>
                <w:color w:val="FF0000"/>
              </w:rPr>
            </w:pPr>
            <w:r>
              <w:rPr>
                <w:color w:val="FF0000"/>
              </w:rPr>
              <w:t>La collegialità</w:t>
            </w:r>
          </w:p>
        </w:tc>
      </w:tr>
      <w:tr w:rsidR="002A4ADB" w:rsidRPr="0052075A" w:rsidTr="00780F85">
        <w:tc>
          <w:tcPr>
            <w:tcW w:w="3794" w:type="dxa"/>
          </w:tcPr>
          <w:p w:rsidR="002A4ADB" w:rsidRPr="0052075A" w:rsidRDefault="002A4ADB" w:rsidP="00780F85">
            <w:r w:rsidRPr="0052075A">
              <w:t>La collega con gravi problemi e i genitori</w:t>
            </w:r>
          </w:p>
        </w:tc>
        <w:tc>
          <w:tcPr>
            <w:tcW w:w="5953" w:type="dxa"/>
          </w:tcPr>
          <w:p w:rsidR="002A4ADB" w:rsidRDefault="002A4ADB" w:rsidP="00780F85">
            <w:r>
              <w:t xml:space="preserve">Primo livello di  intervento: condivisione del problema e sostegno </w:t>
            </w:r>
          </w:p>
          <w:p w:rsidR="002A4ADB" w:rsidRPr="0052075A" w:rsidRDefault="002A4ADB" w:rsidP="00780F85">
            <w:r>
              <w:t>Fare muro davanti ai genitori</w:t>
            </w:r>
          </w:p>
        </w:tc>
      </w:tr>
      <w:tr w:rsidR="002A4ADB" w:rsidRPr="0052075A" w:rsidTr="00780F85">
        <w:tc>
          <w:tcPr>
            <w:tcW w:w="3794" w:type="dxa"/>
          </w:tcPr>
          <w:p w:rsidR="002A4ADB" w:rsidRPr="0052075A" w:rsidRDefault="002A4ADB" w:rsidP="00780F85">
            <w:r w:rsidRPr="0052075A">
              <w:t>Drammatizzazione l’isola del tempo perso</w:t>
            </w:r>
          </w:p>
        </w:tc>
        <w:tc>
          <w:tcPr>
            <w:tcW w:w="5953" w:type="dxa"/>
          </w:tcPr>
          <w:p w:rsidR="002A4ADB" w:rsidRDefault="002A4ADB" w:rsidP="00780F85">
            <w:r w:rsidRPr="0052075A">
              <w:t xml:space="preserve">Come restituirlo e farlo diventare patrimonio della scuola al di là della singola </w:t>
            </w:r>
            <w:r>
              <w:t>situazi</w:t>
            </w:r>
            <w:r w:rsidRPr="0052075A">
              <w:t>one</w:t>
            </w:r>
          </w:p>
          <w:p w:rsidR="002A4ADB" w:rsidRDefault="002A4ADB" w:rsidP="00780F85">
            <w:r>
              <w:t>Questione della documentazione</w:t>
            </w:r>
          </w:p>
          <w:p w:rsidR="002A4ADB" w:rsidRPr="0052075A" w:rsidRDefault="002A4ADB" w:rsidP="00780F85">
            <w:r>
              <w:t>Fare meno progetti</w:t>
            </w:r>
          </w:p>
        </w:tc>
      </w:tr>
    </w:tbl>
    <w:p w:rsidR="002A4ADB" w:rsidRDefault="002A4ADB"/>
    <w:p w:rsidR="0042420B" w:rsidRDefault="0042420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5E58FA" w:rsidRPr="005E58FA" w:rsidTr="00711383">
        <w:tc>
          <w:tcPr>
            <w:tcW w:w="9747" w:type="dxa"/>
            <w:gridSpan w:val="2"/>
          </w:tcPr>
          <w:p w:rsidR="005E58FA" w:rsidRPr="005E58FA" w:rsidRDefault="005E58FA" w:rsidP="005E58FA">
            <w:pPr>
              <w:rPr>
                <w:color w:val="FF0000"/>
              </w:rPr>
            </w:pPr>
            <w:r>
              <w:rPr>
                <w:color w:val="FF0000"/>
              </w:rPr>
              <w:t xml:space="preserve">Le emozioni </w:t>
            </w:r>
          </w:p>
        </w:tc>
      </w:tr>
      <w:tr w:rsidR="0052075A" w:rsidRPr="0052075A" w:rsidTr="002A4ADB">
        <w:tc>
          <w:tcPr>
            <w:tcW w:w="3794" w:type="dxa"/>
          </w:tcPr>
          <w:p w:rsidR="0052075A" w:rsidRPr="0052075A" w:rsidRDefault="0052075A" w:rsidP="00711383">
            <w:r w:rsidRPr="0052075A">
              <w:t>Percorso nascita</w:t>
            </w:r>
          </w:p>
        </w:tc>
        <w:tc>
          <w:tcPr>
            <w:tcW w:w="5953" w:type="dxa"/>
          </w:tcPr>
          <w:p w:rsidR="0052075A" w:rsidRPr="0052075A" w:rsidRDefault="0052075A" w:rsidP="00711383">
            <w:r w:rsidRPr="0052075A">
              <w:t>Lavoro sulle emozioni con grande attenzione</w:t>
            </w:r>
          </w:p>
        </w:tc>
      </w:tr>
      <w:tr w:rsidR="0052075A" w:rsidRPr="0052075A" w:rsidTr="002A4ADB">
        <w:tc>
          <w:tcPr>
            <w:tcW w:w="3794" w:type="dxa"/>
          </w:tcPr>
          <w:p w:rsidR="0052075A" w:rsidRPr="0052075A" w:rsidRDefault="0052075A" w:rsidP="00711383">
            <w:r w:rsidRPr="0052075A">
              <w:t>La ragazza che porta il velo “liberamente”</w:t>
            </w:r>
          </w:p>
        </w:tc>
        <w:tc>
          <w:tcPr>
            <w:tcW w:w="5953" w:type="dxa"/>
          </w:tcPr>
          <w:p w:rsidR="0052075A" w:rsidRDefault="0052075A" w:rsidP="00711383">
            <w:r w:rsidRPr="0052075A">
              <w:t>Scuola come disseminatrice di dubbio</w:t>
            </w:r>
            <w:r w:rsidR="002A4ADB">
              <w:t xml:space="preserve"> su ogni comportamento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8"/>
              </w:numPr>
            </w:pPr>
            <w:r>
              <w:t>Da scuola i bambini devono tornare cambiati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8"/>
              </w:numPr>
            </w:pPr>
            <w:r>
              <w:t>Il conflitto con le culture e con le tradizioni</w:t>
            </w:r>
          </w:p>
          <w:p w:rsidR="002A4ADB" w:rsidRPr="0052075A" w:rsidRDefault="002A4ADB" w:rsidP="002A4ADB">
            <w:pPr>
              <w:pStyle w:val="Paragrafoelenco"/>
              <w:numPr>
                <w:ilvl w:val="0"/>
                <w:numId w:val="8"/>
              </w:numPr>
            </w:pPr>
            <w:r>
              <w:t>Ma alla fine deve rinunciare al velo?</w:t>
            </w:r>
          </w:p>
        </w:tc>
      </w:tr>
    </w:tbl>
    <w:p w:rsidR="0052075A" w:rsidRDefault="0052075A"/>
    <w:p w:rsidR="005E58FA" w:rsidRDefault="005E58F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5E58FA" w:rsidRPr="005E58FA" w:rsidTr="00711383">
        <w:tc>
          <w:tcPr>
            <w:tcW w:w="9747" w:type="dxa"/>
            <w:gridSpan w:val="2"/>
          </w:tcPr>
          <w:p w:rsidR="005E58FA" w:rsidRPr="005E58FA" w:rsidRDefault="005E58FA" w:rsidP="005E58FA">
            <w:pPr>
              <w:rPr>
                <w:color w:val="FF0000"/>
              </w:rPr>
            </w:pPr>
            <w:r>
              <w:rPr>
                <w:color w:val="FF0000"/>
              </w:rPr>
              <w:t>Il fallimento</w:t>
            </w:r>
          </w:p>
        </w:tc>
      </w:tr>
      <w:tr w:rsidR="005E58FA" w:rsidRPr="0052075A" w:rsidTr="002A4ADB">
        <w:tc>
          <w:tcPr>
            <w:tcW w:w="3794" w:type="dxa"/>
          </w:tcPr>
          <w:p w:rsidR="005E58FA" w:rsidRPr="0052075A" w:rsidRDefault="005E58FA" w:rsidP="00711383">
            <w:r w:rsidRPr="0052075A">
              <w:t>La fattoria degli animali</w:t>
            </w:r>
          </w:p>
        </w:tc>
        <w:tc>
          <w:tcPr>
            <w:tcW w:w="5953" w:type="dxa"/>
          </w:tcPr>
          <w:p w:rsidR="005E58FA" w:rsidRDefault="005E58FA" w:rsidP="00711383">
            <w:r w:rsidRPr="0052075A">
              <w:t>Il fallimento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9"/>
              </w:numPr>
            </w:pPr>
            <w:r>
              <w:t>Fa parte della professione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9"/>
              </w:numPr>
            </w:pPr>
            <w:r>
              <w:t>Non può essere un alibi</w:t>
            </w:r>
          </w:p>
          <w:p w:rsidR="002A4ADB" w:rsidRDefault="002A4ADB" w:rsidP="002A4ADB">
            <w:pPr>
              <w:pStyle w:val="Paragrafoelenco"/>
              <w:numPr>
                <w:ilvl w:val="0"/>
                <w:numId w:val="9"/>
              </w:numPr>
            </w:pPr>
            <w:r>
              <w:t>Occorre rileggere con calma le proprie pratiche formative</w:t>
            </w:r>
          </w:p>
          <w:p w:rsidR="002A4ADB" w:rsidRPr="0052075A" w:rsidRDefault="002A4ADB" w:rsidP="002A4ADB">
            <w:pPr>
              <w:pStyle w:val="Paragrafoelenco"/>
              <w:numPr>
                <w:ilvl w:val="0"/>
                <w:numId w:val="9"/>
              </w:numPr>
            </w:pPr>
            <w:r>
              <w:t>Può anche essere una fase della vita</w:t>
            </w:r>
          </w:p>
        </w:tc>
      </w:tr>
      <w:tr w:rsidR="005E58FA" w:rsidRPr="0052075A" w:rsidTr="002A4ADB">
        <w:tc>
          <w:tcPr>
            <w:tcW w:w="3794" w:type="dxa"/>
          </w:tcPr>
          <w:p w:rsidR="005E58FA" w:rsidRPr="0052075A" w:rsidRDefault="005E58FA" w:rsidP="00711383">
            <w:r w:rsidRPr="0052075A">
              <w:t>La hall dell’albergo</w:t>
            </w:r>
          </w:p>
        </w:tc>
        <w:tc>
          <w:tcPr>
            <w:tcW w:w="5953" w:type="dxa"/>
          </w:tcPr>
          <w:p w:rsidR="005E58FA" w:rsidRPr="0052075A" w:rsidRDefault="005E58FA" w:rsidP="00711383">
            <w:r w:rsidRPr="0052075A">
              <w:t>P</w:t>
            </w:r>
            <w:r w:rsidR="002A4ADB">
              <w:t>erché fallimento? Anche in un ver</w:t>
            </w:r>
            <w:r w:rsidRPr="0052075A">
              <w:t>o albergo succederebbe così</w:t>
            </w:r>
          </w:p>
        </w:tc>
      </w:tr>
      <w:tr w:rsidR="005E58FA" w:rsidRPr="0052075A" w:rsidTr="002A4ADB">
        <w:tc>
          <w:tcPr>
            <w:tcW w:w="3794" w:type="dxa"/>
          </w:tcPr>
          <w:p w:rsidR="005E58FA" w:rsidRPr="0052075A" w:rsidRDefault="005E58FA" w:rsidP="00711383">
            <w:r w:rsidRPr="0052075A">
              <w:t>L’alfabeto moldavo</w:t>
            </w:r>
          </w:p>
        </w:tc>
        <w:tc>
          <w:tcPr>
            <w:tcW w:w="5953" w:type="dxa"/>
          </w:tcPr>
          <w:p w:rsidR="005E58FA" w:rsidRPr="0052075A" w:rsidRDefault="005E58FA" w:rsidP="00711383">
            <w:r w:rsidRPr="0052075A">
              <w:t>L’enorme pazienza</w:t>
            </w:r>
          </w:p>
        </w:tc>
      </w:tr>
    </w:tbl>
    <w:p w:rsidR="005E58FA" w:rsidRPr="0052075A" w:rsidRDefault="005E58FA"/>
    <w:sectPr w:rsidR="005E58FA" w:rsidRPr="0052075A" w:rsidSect="00D667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9A8" w:rsidRDefault="00DF09A8" w:rsidP="002A4ADB">
      <w:r>
        <w:separator/>
      </w:r>
    </w:p>
  </w:endnote>
  <w:endnote w:type="continuationSeparator" w:id="0">
    <w:p w:rsidR="00DF09A8" w:rsidRDefault="00DF09A8" w:rsidP="002A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9A8" w:rsidRDefault="00DF09A8" w:rsidP="002A4ADB">
      <w:r>
        <w:separator/>
      </w:r>
    </w:p>
  </w:footnote>
  <w:footnote w:type="continuationSeparator" w:id="0">
    <w:p w:rsidR="00DF09A8" w:rsidRDefault="00DF09A8" w:rsidP="002A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891"/>
    <w:multiLevelType w:val="hybridMultilevel"/>
    <w:tmpl w:val="C2B04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56FE"/>
    <w:multiLevelType w:val="hybridMultilevel"/>
    <w:tmpl w:val="0936D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455D"/>
    <w:multiLevelType w:val="hybridMultilevel"/>
    <w:tmpl w:val="63A89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445B"/>
    <w:multiLevelType w:val="hybridMultilevel"/>
    <w:tmpl w:val="3A287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12DE"/>
    <w:multiLevelType w:val="hybridMultilevel"/>
    <w:tmpl w:val="01B25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30C9D"/>
    <w:multiLevelType w:val="hybridMultilevel"/>
    <w:tmpl w:val="0AB4F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80697"/>
    <w:multiLevelType w:val="hybridMultilevel"/>
    <w:tmpl w:val="1C2E8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C5465"/>
    <w:multiLevelType w:val="hybridMultilevel"/>
    <w:tmpl w:val="E4540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445C8"/>
    <w:multiLevelType w:val="hybridMultilevel"/>
    <w:tmpl w:val="A6827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FC"/>
    <w:rsid w:val="001E5234"/>
    <w:rsid w:val="0022567F"/>
    <w:rsid w:val="002317D9"/>
    <w:rsid w:val="002A4ADB"/>
    <w:rsid w:val="002B4417"/>
    <w:rsid w:val="0042420B"/>
    <w:rsid w:val="004A4AC2"/>
    <w:rsid w:val="004B3D47"/>
    <w:rsid w:val="0052075A"/>
    <w:rsid w:val="00592A5B"/>
    <w:rsid w:val="005E58FA"/>
    <w:rsid w:val="006030FC"/>
    <w:rsid w:val="008669B3"/>
    <w:rsid w:val="00D66762"/>
    <w:rsid w:val="00DF09A8"/>
    <w:rsid w:val="00E05B7A"/>
    <w:rsid w:val="00EB3B2E"/>
    <w:rsid w:val="00EC6583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31585-824E-4EFA-A868-E63FA118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udy Old Style" w:eastAsiaTheme="minorHAnsi" w:hAnsi="Goudy Old Style" w:cs="Times New Roman"/>
        <w:iCs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67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3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A4A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4ADB"/>
  </w:style>
  <w:style w:type="paragraph" w:styleId="Pidipagina">
    <w:name w:val="footer"/>
    <w:basedOn w:val="Normale"/>
    <w:link w:val="PidipaginaCarattere"/>
    <w:uiPriority w:val="99"/>
    <w:semiHidden/>
    <w:unhideWhenUsed/>
    <w:rsid w:val="002A4A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4ADB"/>
  </w:style>
  <w:style w:type="paragraph" w:styleId="Paragrafoelenco">
    <w:name w:val="List Paragraph"/>
    <w:basedOn w:val="Normale"/>
    <w:uiPriority w:val="34"/>
    <w:qFormat/>
    <w:rsid w:val="002A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1E724-1750-45F1-A62A-C9075EBC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Dirigente_ICRebbio</cp:lastModifiedBy>
  <cp:revision>2</cp:revision>
  <cp:lastPrinted>2016-02-28T13:23:00Z</cp:lastPrinted>
  <dcterms:created xsi:type="dcterms:W3CDTF">2016-04-18T19:30:00Z</dcterms:created>
  <dcterms:modified xsi:type="dcterms:W3CDTF">2016-04-18T19:30:00Z</dcterms:modified>
</cp:coreProperties>
</file>